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B5A33" w14:textId="795CF886" w:rsidR="00AC4FAC" w:rsidRPr="00A9284F" w:rsidRDefault="00AC4FAC" w:rsidP="00AC4FA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#99</w:t>
      </w:r>
      <w:r w:rsidR="00C612A9">
        <w:rPr>
          <w:rFonts w:ascii="Calibri" w:eastAsia="MS Mincho" w:hAnsi="Calibri" w:cs="Calibri"/>
          <w:sz w:val="24"/>
          <w:szCs w:val="24"/>
          <w:lang w:val="en-US" w:eastAsia="en-US"/>
        </w:rPr>
        <w:t>bis</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C13C5D">
        <w:rPr>
          <w:rFonts w:ascii="Calibri" w:eastAsia="MS Mincho" w:hAnsi="Calibri" w:cs="Calibri"/>
          <w:sz w:val="24"/>
          <w:szCs w:val="24"/>
          <w:lang w:val="en-US" w:eastAsia="en-US"/>
        </w:rPr>
        <w:t>1711022</w:t>
      </w:r>
      <w:bookmarkStart w:id="11" w:name="_GoBack"/>
      <w:bookmarkEnd w:id="11"/>
    </w:p>
    <w:p w14:paraId="0FB043C7" w14:textId="7F8F7722" w:rsidR="00AC4FAC" w:rsidRPr="00A9284F" w:rsidRDefault="00C612A9" w:rsidP="00AC4FAC">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Prague</w:t>
      </w:r>
      <w:r w:rsidR="00AC4FAC"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Czech Republic</w:t>
      </w:r>
      <w:r w:rsidR="00AC4FAC"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9</w:t>
      </w:r>
      <w:r w:rsidR="00AC4FAC" w:rsidRPr="00A9284F">
        <w:rPr>
          <w:rFonts w:ascii="Calibri" w:eastAsia="MS Mincho" w:hAnsi="Calibri" w:cs="Calibri"/>
          <w:sz w:val="24"/>
          <w:szCs w:val="24"/>
          <w:lang w:val="en-US" w:eastAsia="en-US"/>
        </w:rPr>
        <w:t xml:space="preserve"> </w:t>
      </w:r>
      <w:r w:rsidR="00AC4FAC">
        <w:rPr>
          <w:rFonts w:ascii="Calibri" w:eastAsia="MS Mincho" w:hAnsi="Calibri" w:cs="Calibri"/>
          <w:sz w:val="24"/>
          <w:szCs w:val="24"/>
          <w:lang w:val="en-US" w:eastAsia="en-US"/>
        </w:rPr>
        <w:t>–</w:t>
      </w:r>
      <w:r w:rsidR="00AC4FAC"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13</w:t>
      </w:r>
      <w:r w:rsidR="00AC4FAC" w:rsidRPr="007B2C2E">
        <w:rPr>
          <w:rFonts w:ascii="Calibri" w:eastAsia="MS Mincho" w:hAnsi="Calibri" w:cs="Calibri"/>
          <w:sz w:val="24"/>
          <w:szCs w:val="24"/>
          <w:vertAlign w:val="superscript"/>
          <w:lang w:val="en-US" w:eastAsia="en-US"/>
        </w:rPr>
        <w:t>th</w:t>
      </w:r>
      <w:r w:rsidR="00AC4FAC">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October</w:t>
      </w:r>
      <w:r w:rsidR="00AC4FAC">
        <w:rPr>
          <w:rFonts w:ascii="Calibri" w:eastAsia="MS Mincho" w:hAnsi="Calibri" w:cs="Calibri"/>
          <w:sz w:val="24"/>
          <w:szCs w:val="24"/>
          <w:lang w:val="en-US" w:eastAsia="en-US"/>
        </w:rPr>
        <w:t xml:space="preserve"> 2017</w:t>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r w:rsidR="00D263BB">
        <w:rPr>
          <w:rFonts w:ascii="Calibri" w:eastAsia="MS Mincho" w:hAnsi="Calibri" w:cs="Calibri"/>
          <w:sz w:val="24"/>
          <w:szCs w:val="24"/>
          <w:lang w:val="en-US" w:eastAsia="en-US"/>
        </w:rPr>
        <w:tab/>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27CF67A7"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4B1F9B">
        <w:rPr>
          <w:rFonts w:ascii="Calibri" w:eastAsia="MS Mincho" w:hAnsi="Calibri" w:cs="Calibri"/>
          <w:b/>
          <w:sz w:val="24"/>
          <w:lang w:val="sv-SE" w:eastAsia="en-US"/>
        </w:rPr>
        <w:t>10.4.1.6.1</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1956DD91"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C612A9" w:rsidRPr="00C612A9">
        <w:rPr>
          <w:rFonts w:ascii="Calibri" w:eastAsia="MS Mincho" w:hAnsi="Calibri" w:cs="Calibri"/>
          <w:sz w:val="24"/>
          <w:lang w:val="en-US" w:eastAsia="en-US"/>
        </w:rPr>
        <w:t>Cell Barring timer</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7DAF1D59" w14:textId="2C51DB81" w:rsidR="00C612A9" w:rsidRPr="00503D7F" w:rsidRDefault="00C612A9" w:rsidP="006E7B84">
      <w:pPr>
        <w:overflowPunct/>
        <w:autoSpaceDE/>
        <w:autoSpaceDN/>
        <w:adjustRightInd/>
        <w:spacing w:after="0"/>
        <w:textAlignment w:val="auto"/>
      </w:pPr>
      <w:r w:rsidRPr="00C612A9">
        <w:rPr>
          <w:rFonts w:asciiTheme="minorHAnsi" w:hAnsiTheme="minorHAnsi" w:cstheme="minorHAnsi"/>
        </w:rPr>
        <w:t xml:space="preserve">It was agreed in RAN2#99 that: </w:t>
      </w:r>
    </w:p>
    <w:p w14:paraId="5B5EB90E" w14:textId="5D83BDFB" w:rsidR="006E7B84" w:rsidRDefault="006E7B84" w:rsidP="006E7B84">
      <w:pPr>
        <w:pStyle w:val="Doc-text2"/>
        <w:pBdr>
          <w:top w:val="single" w:sz="4" w:space="1" w:color="auto"/>
          <w:left w:val="single" w:sz="4" w:space="4" w:color="auto"/>
          <w:bottom w:val="single" w:sz="4" w:space="1" w:color="auto"/>
          <w:right w:val="single" w:sz="4" w:space="4" w:color="auto"/>
        </w:pBdr>
        <w:jc w:val="both"/>
      </w:pPr>
      <w:r w:rsidRPr="00503D7F">
        <w:t>Working assumption</w:t>
      </w:r>
      <w:r>
        <w:t>:</w:t>
      </w:r>
    </w:p>
    <w:p w14:paraId="4205D425" w14:textId="77777777" w:rsidR="00C612A9" w:rsidRPr="00503D7F" w:rsidRDefault="00C612A9" w:rsidP="00C612A9">
      <w:pPr>
        <w:pStyle w:val="Doc-text2"/>
        <w:pBdr>
          <w:top w:val="single" w:sz="4" w:space="1" w:color="auto"/>
          <w:left w:val="single" w:sz="4" w:space="4" w:color="auto"/>
          <w:bottom w:val="single" w:sz="4" w:space="1" w:color="auto"/>
          <w:right w:val="single" w:sz="4" w:space="4" w:color="auto"/>
        </w:pBdr>
      </w:pPr>
      <w:r w:rsidRPr="00503D7F">
        <w:t>1:</w:t>
      </w:r>
      <w:r w:rsidRPr="00503D7F">
        <w:tab/>
        <w:t>1 bit (final name FFS, but same UE behaviour as cellbarred in LTE) is included in NR MIB to indicate that a cell cannot be camped on. intraFreqReselection is 'not allowed' (not signalled). BarredTimer is specified, value FFS.</w:t>
      </w:r>
    </w:p>
    <w:p w14:paraId="7CE434ED" w14:textId="221C238C" w:rsidR="00C612A9" w:rsidRPr="00503D7F" w:rsidRDefault="00C612A9" w:rsidP="00C612A9">
      <w:pPr>
        <w:pStyle w:val="Doc-text2"/>
        <w:pBdr>
          <w:top w:val="single" w:sz="4" w:space="1" w:color="auto"/>
          <w:left w:val="single" w:sz="4" w:space="4" w:color="auto"/>
          <w:bottom w:val="single" w:sz="4" w:space="1" w:color="auto"/>
          <w:right w:val="single" w:sz="4" w:space="4" w:color="auto"/>
        </w:pBdr>
      </w:pPr>
      <w:r w:rsidRPr="00503D7F">
        <w:tab/>
        <w:t>cellBarred and intraFreqReselection signalling in SIB1 (as in LTE)</w:t>
      </w:r>
    </w:p>
    <w:p w14:paraId="443ADD81" w14:textId="77777777" w:rsidR="00C612A9" w:rsidRDefault="00C612A9" w:rsidP="00C612A9">
      <w:pPr>
        <w:pStyle w:val="Doc-text2"/>
      </w:pPr>
    </w:p>
    <w:p w14:paraId="68699551" w14:textId="57CF167B" w:rsidR="000444F2" w:rsidRDefault="00C612A9" w:rsidP="00C612A9">
      <w:pPr>
        <w:pStyle w:val="Doc-text2"/>
        <w:ind w:left="0" w:firstLine="0"/>
        <w:rPr>
          <w:rFonts w:ascii="Calibri" w:hAnsi="Calibri" w:cs="Calibri"/>
          <w:sz w:val="36"/>
        </w:rPr>
      </w:pPr>
      <w:r>
        <w:t xml:space="preserve">In this contribution we discuss different scenarios where BarredTimer will be necessary and if a common </w:t>
      </w:r>
      <w:r w:rsidR="006E7B84">
        <w:t xml:space="preserve">or different </w:t>
      </w:r>
      <w:r>
        <w:t>value</w:t>
      </w:r>
      <w:r w:rsidR="001D130F">
        <w:t>s</w:t>
      </w:r>
      <w:r>
        <w:t xml:space="preserve"> </w:t>
      </w:r>
      <w:r w:rsidR="001D130F">
        <w:t>should</w:t>
      </w:r>
      <w:r>
        <w:t xml:space="preserve"> be signalled or assumed in the specifications.</w:t>
      </w:r>
    </w:p>
    <w:p w14:paraId="634E396D" w14:textId="1A0261AB"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1C84A1F0" w14:textId="2687AE78" w:rsidR="00C612A9" w:rsidRPr="00C612A9" w:rsidRDefault="00C612A9" w:rsidP="00744725">
      <w:pPr>
        <w:pStyle w:val="Doc-text2"/>
        <w:tabs>
          <w:tab w:val="clear" w:pos="1622"/>
        </w:tabs>
        <w:ind w:left="0" w:firstLine="0"/>
        <w:rPr>
          <w:rFonts w:ascii="Calibri" w:hAnsi="Calibri" w:cs="Calibri"/>
          <w:b/>
        </w:rPr>
      </w:pPr>
      <w:r w:rsidRPr="00C612A9">
        <w:rPr>
          <w:rFonts w:ascii="Calibri" w:hAnsi="Calibri" w:cs="Calibri"/>
          <w:b/>
        </w:rPr>
        <w:t>Cell barred indication</w:t>
      </w:r>
    </w:p>
    <w:p w14:paraId="27453ED1" w14:textId="77777777" w:rsidR="00C612A9" w:rsidRDefault="00C612A9" w:rsidP="00744725">
      <w:pPr>
        <w:pStyle w:val="Doc-text2"/>
        <w:tabs>
          <w:tab w:val="clear" w:pos="1622"/>
        </w:tabs>
        <w:ind w:left="0" w:firstLine="0"/>
        <w:rPr>
          <w:rFonts w:ascii="Calibri" w:hAnsi="Calibri" w:cs="Calibri"/>
        </w:rPr>
      </w:pPr>
    </w:p>
    <w:p w14:paraId="2E886D35" w14:textId="7D6E555E" w:rsidR="00C612A9" w:rsidRDefault="00C612A9" w:rsidP="00744725">
      <w:pPr>
        <w:pStyle w:val="Doc-text2"/>
        <w:tabs>
          <w:tab w:val="clear" w:pos="1622"/>
        </w:tabs>
        <w:ind w:left="0" w:firstLine="0"/>
        <w:rPr>
          <w:rFonts w:ascii="Calibri" w:hAnsi="Calibri" w:cs="Calibri"/>
        </w:rPr>
      </w:pPr>
      <w:r>
        <w:rPr>
          <w:rFonts w:ascii="Calibri" w:hAnsi="Calibri" w:cs="Calibri"/>
        </w:rPr>
        <w:t>So far two scenarios have been discussed where cell barred indication will be broadcasted by the cell. First</w:t>
      </w:r>
      <w:r w:rsidR="006E7B84">
        <w:rPr>
          <w:rFonts w:ascii="Calibri" w:hAnsi="Calibri" w:cs="Calibri"/>
        </w:rPr>
        <w:t xml:space="preserve"> scenario</w:t>
      </w:r>
      <w:r w:rsidR="001D130F">
        <w:rPr>
          <w:rFonts w:ascii="Calibri" w:hAnsi="Calibri" w:cs="Calibri"/>
        </w:rPr>
        <w:t xml:space="preserve"> is </w:t>
      </w:r>
      <w:r w:rsidR="006E7B84">
        <w:rPr>
          <w:rFonts w:ascii="Calibri" w:hAnsi="Calibri" w:cs="Calibri"/>
        </w:rPr>
        <w:t xml:space="preserve">where </w:t>
      </w:r>
      <w:r>
        <w:rPr>
          <w:rFonts w:ascii="Calibri" w:hAnsi="Calibri" w:cs="Calibri"/>
        </w:rPr>
        <w:t xml:space="preserve">an NR cell supports DC </w:t>
      </w:r>
      <w:r w:rsidR="001D130F">
        <w:rPr>
          <w:rFonts w:ascii="Calibri" w:hAnsi="Calibri" w:cs="Calibri"/>
        </w:rPr>
        <w:t>but</w:t>
      </w:r>
      <w:r>
        <w:rPr>
          <w:rFonts w:ascii="Calibri" w:hAnsi="Calibri" w:cs="Calibri"/>
        </w:rPr>
        <w:t xml:space="preserve"> does not support standalone oper</w:t>
      </w:r>
      <w:r w:rsidR="006E7B84">
        <w:rPr>
          <w:rFonts w:ascii="Calibri" w:hAnsi="Calibri" w:cs="Calibri"/>
        </w:rPr>
        <w:t>ation and a cell barring</w:t>
      </w:r>
      <w:r>
        <w:rPr>
          <w:rFonts w:ascii="Calibri" w:hAnsi="Calibri" w:cs="Calibri"/>
        </w:rPr>
        <w:t xml:space="preserve"> indication is needed for </w:t>
      </w:r>
      <w:r w:rsidR="001D130F">
        <w:rPr>
          <w:rFonts w:ascii="Calibri" w:hAnsi="Calibri" w:cs="Calibri"/>
        </w:rPr>
        <w:t xml:space="preserve">barring the </w:t>
      </w:r>
      <w:r>
        <w:rPr>
          <w:rFonts w:ascii="Calibri" w:hAnsi="Calibri" w:cs="Calibri"/>
        </w:rPr>
        <w:t>UEs supporting standalone operation</w:t>
      </w:r>
      <w:r w:rsidR="006E7B84">
        <w:rPr>
          <w:rFonts w:ascii="Calibri" w:hAnsi="Calibri" w:cs="Calibri"/>
        </w:rPr>
        <w:t xml:space="preserve"> only</w:t>
      </w:r>
      <w:r>
        <w:rPr>
          <w:rFonts w:ascii="Calibri" w:hAnsi="Calibri" w:cs="Calibri"/>
        </w:rPr>
        <w:t>. Second</w:t>
      </w:r>
      <w:r w:rsidR="006E7B84">
        <w:rPr>
          <w:rFonts w:ascii="Calibri" w:hAnsi="Calibri" w:cs="Calibri"/>
        </w:rPr>
        <w:t xml:space="preserve"> scenario is </w:t>
      </w:r>
      <w:r>
        <w:rPr>
          <w:rFonts w:ascii="Calibri" w:hAnsi="Calibri" w:cs="Calibri"/>
        </w:rPr>
        <w:t xml:space="preserve">when </w:t>
      </w:r>
      <w:r w:rsidR="006E7B84">
        <w:rPr>
          <w:rFonts w:ascii="Calibri" w:hAnsi="Calibri" w:cs="Calibri"/>
        </w:rPr>
        <w:t xml:space="preserve">the </w:t>
      </w:r>
      <w:r>
        <w:rPr>
          <w:rFonts w:ascii="Calibri" w:hAnsi="Calibri" w:cs="Calibri"/>
        </w:rPr>
        <w:t xml:space="preserve">cell is barred due to any other reason e.g. </w:t>
      </w:r>
      <w:r w:rsidR="006E7B84">
        <w:rPr>
          <w:rFonts w:ascii="Calibri" w:hAnsi="Calibri" w:cs="Calibri"/>
        </w:rPr>
        <w:t xml:space="preserve">due to </w:t>
      </w:r>
      <w:r>
        <w:rPr>
          <w:rFonts w:ascii="Calibri" w:hAnsi="Calibri" w:cs="Calibri"/>
        </w:rPr>
        <w:t>maintenance</w:t>
      </w:r>
      <w:r w:rsidR="006E7B84">
        <w:rPr>
          <w:rFonts w:ascii="Calibri" w:hAnsi="Calibri" w:cs="Calibri"/>
        </w:rPr>
        <w:t xml:space="preserve"> or</w:t>
      </w:r>
      <w:r>
        <w:rPr>
          <w:rFonts w:ascii="Calibri" w:hAnsi="Calibri" w:cs="Calibri"/>
        </w:rPr>
        <w:t xml:space="preserve"> if it is overloaded. We think cell could be overloaded due to user traffic and even </w:t>
      </w:r>
      <w:r w:rsidR="00CE5A41" w:rsidRPr="00BA6677">
        <w:rPr>
          <w:rFonts w:ascii="Calibri" w:hAnsi="Calibri" w:cs="Calibri"/>
        </w:rPr>
        <w:t>System information broadcast with beamforming will consume more resources when compared to LTE</w:t>
      </w:r>
      <w:r w:rsidR="008B4B3F">
        <w:rPr>
          <w:rFonts w:ascii="Calibri" w:hAnsi="Calibri" w:cs="Calibri"/>
        </w:rPr>
        <w:t xml:space="preserve"> system information broadcast</w:t>
      </w:r>
      <w:r w:rsidR="00CE5A41" w:rsidRPr="00BA6677">
        <w:rPr>
          <w:rFonts w:ascii="Calibri" w:hAnsi="Calibri" w:cs="Calibri"/>
        </w:rPr>
        <w:t xml:space="preserve">. So, if a cell is barred due to any reason </w:t>
      </w:r>
      <w:r w:rsidR="00BA6677">
        <w:rPr>
          <w:rFonts w:ascii="Calibri" w:hAnsi="Calibri" w:cs="Calibri"/>
        </w:rPr>
        <w:t xml:space="preserve">or if the RACH is overloaded (for example due to excessive Msg3 on-demand SI requests) </w:t>
      </w:r>
      <w:r w:rsidR="00CE5A41" w:rsidRPr="00BA6677">
        <w:rPr>
          <w:rFonts w:ascii="Calibri" w:hAnsi="Calibri" w:cs="Calibri"/>
        </w:rPr>
        <w:t xml:space="preserve">then network should have </w:t>
      </w:r>
      <w:r w:rsidR="00BA6677">
        <w:rPr>
          <w:rFonts w:ascii="Calibri" w:hAnsi="Calibri" w:cs="Calibri"/>
        </w:rPr>
        <w:t xml:space="preserve">the </w:t>
      </w:r>
      <w:r w:rsidR="00CE5A41" w:rsidRPr="00BA6677">
        <w:rPr>
          <w:rFonts w:ascii="Calibri" w:hAnsi="Calibri" w:cs="Calibri"/>
        </w:rPr>
        <w:t xml:space="preserve">flexibility to stop broadcast of </w:t>
      </w:r>
      <w:r w:rsidR="008B4B3F">
        <w:rPr>
          <w:rFonts w:ascii="Calibri" w:hAnsi="Calibri" w:cs="Calibri"/>
        </w:rPr>
        <w:t xml:space="preserve">remaining SIBs including </w:t>
      </w:r>
      <w:r w:rsidR="00CE5A41" w:rsidRPr="00BA6677">
        <w:rPr>
          <w:rFonts w:ascii="Calibri" w:hAnsi="Calibri" w:cs="Calibri"/>
        </w:rPr>
        <w:t xml:space="preserve">on-demand system information. UE will anyway not read further system information once it knows the cell has been barred. </w:t>
      </w:r>
      <w:r w:rsidR="00BA6677">
        <w:rPr>
          <w:rFonts w:ascii="Calibri" w:hAnsi="Calibri" w:cs="Calibri"/>
        </w:rPr>
        <w:t>A</w:t>
      </w:r>
      <w:r w:rsidR="00CE5A41" w:rsidRPr="00BA6677">
        <w:rPr>
          <w:rFonts w:ascii="Calibri" w:hAnsi="Calibri" w:cs="Calibri"/>
        </w:rPr>
        <w:t>n early indication of cell barring</w:t>
      </w:r>
      <w:r w:rsidR="00BA6677">
        <w:rPr>
          <w:rFonts w:ascii="Calibri" w:hAnsi="Calibri" w:cs="Calibri"/>
        </w:rPr>
        <w:t>,</w:t>
      </w:r>
      <w:r w:rsidR="00CE5A41" w:rsidRPr="00BA6677">
        <w:rPr>
          <w:rFonts w:ascii="Calibri" w:hAnsi="Calibri" w:cs="Calibri"/>
        </w:rPr>
        <w:t xml:space="preserve"> </w:t>
      </w:r>
      <w:r w:rsidR="00BA6677">
        <w:rPr>
          <w:rFonts w:ascii="Calibri" w:hAnsi="Calibri" w:cs="Calibri"/>
        </w:rPr>
        <w:t xml:space="preserve">or at least an indication that on-demand SI request is barred, </w:t>
      </w:r>
      <w:r w:rsidR="00CE5A41" w:rsidRPr="00BA6677">
        <w:rPr>
          <w:rFonts w:ascii="Calibri" w:hAnsi="Calibri" w:cs="Calibri"/>
        </w:rPr>
        <w:t>will be useful</w:t>
      </w:r>
      <w:r>
        <w:rPr>
          <w:rFonts w:ascii="Calibri" w:hAnsi="Calibri" w:cs="Calibri"/>
        </w:rPr>
        <w:t>.</w:t>
      </w:r>
    </w:p>
    <w:p w14:paraId="5FF86807" w14:textId="77777777" w:rsidR="00C612A9" w:rsidRDefault="00C612A9" w:rsidP="00744725">
      <w:pPr>
        <w:pStyle w:val="Doc-text2"/>
        <w:tabs>
          <w:tab w:val="clear" w:pos="1622"/>
        </w:tabs>
        <w:ind w:left="0" w:firstLine="0"/>
        <w:rPr>
          <w:rFonts w:ascii="Calibri" w:hAnsi="Calibri" w:cs="Calibri"/>
        </w:rPr>
      </w:pPr>
    </w:p>
    <w:p w14:paraId="0B3CC27E" w14:textId="631B9662" w:rsidR="001D130F" w:rsidRDefault="006E7B84" w:rsidP="001D130F">
      <w:pPr>
        <w:pStyle w:val="Doc-text2"/>
        <w:tabs>
          <w:tab w:val="clear" w:pos="1622"/>
        </w:tabs>
        <w:ind w:left="0" w:firstLine="0"/>
        <w:rPr>
          <w:rFonts w:ascii="Calibri" w:hAnsi="Calibri" w:cs="Calibri"/>
        </w:rPr>
      </w:pPr>
      <w:r>
        <w:rPr>
          <w:rFonts w:ascii="Calibri" w:hAnsi="Calibri" w:cs="Calibri"/>
        </w:rPr>
        <w:t xml:space="preserve">It was argued </w:t>
      </w:r>
      <w:r w:rsidR="001D130F">
        <w:rPr>
          <w:rFonts w:ascii="Calibri" w:hAnsi="Calibri" w:cs="Calibri"/>
        </w:rPr>
        <w:t xml:space="preserve">during the </w:t>
      </w:r>
      <w:r>
        <w:rPr>
          <w:rFonts w:ascii="Calibri" w:hAnsi="Calibri" w:cs="Calibri"/>
        </w:rPr>
        <w:t xml:space="preserve">last meeting that barring in both scenarios may require different barring timer. </w:t>
      </w:r>
      <w:r w:rsidR="001D130F">
        <w:rPr>
          <w:rFonts w:ascii="Calibri" w:hAnsi="Calibri" w:cs="Calibri"/>
        </w:rPr>
        <w:t>For simplicity, a single timer with a reasonable value can be used. The disadvantage of single timer is, however, that even if the timer is reasonably long and a standalone UE trying to camp on a DC cell does not move then the UE will keep on checking the same PCI again and again resulting in increased battery consumption but still the cell status remains as barred cell. If the timer is too long in order to suit the first scenario then if network resumes the normal operation of the cell e.g. after maintenance or overload situation has resolved, UEs which barred the cell will still consider it as barred.</w:t>
      </w:r>
    </w:p>
    <w:p w14:paraId="134C2EB9" w14:textId="338418A1" w:rsidR="00BA19A0" w:rsidRDefault="00BA19A0" w:rsidP="00744725">
      <w:pPr>
        <w:pStyle w:val="Doc-text2"/>
        <w:tabs>
          <w:tab w:val="clear" w:pos="1622"/>
        </w:tabs>
        <w:ind w:left="0" w:firstLine="0"/>
        <w:rPr>
          <w:rFonts w:ascii="Calibri" w:hAnsi="Calibri" w:cs="Calibri"/>
        </w:rPr>
      </w:pPr>
      <w:r>
        <w:rPr>
          <w:rFonts w:ascii="Calibri" w:hAnsi="Calibri" w:cs="Calibri"/>
        </w:rPr>
        <w:t>So our first proposal is to agree the working assumption from last meeting</w:t>
      </w:r>
    </w:p>
    <w:p w14:paraId="286251D1" w14:textId="77777777" w:rsidR="006921D9" w:rsidRDefault="006921D9" w:rsidP="00744725">
      <w:pPr>
        <w:pStyle w:val="Doc-text2"/>
        <w:tabs>
          <w:tab w:val="clear" w:pos="1622"/>
        </w:tabs>
        <w:ind w:left="0" w:firstLine="0"/>
        <w:rPr>
          <w:rFonts w:ascii="Calibri" w:hAnsi="Calibri" w:cs="Calibri"/>
        </w:rPr>
      </w:pPr>
    </w:p>
    <w:p w14:paraId="2B9051C1" w14:textId="7538D552" w:rsidR="008B4B3F" w:rsidRDefault="006921D9" w:rsidP="00744725">
      <w:pPr>
        <w:pStyle w:val="Doc-text2"/>
        <w:tabs>
          <w:tab w:val="clear" w:pos="1622"/>
        </w:tabs>
        <w:ind w:left="0" w:firstLine="0"/>
        <w:rPr>
          <w:rFonts w:ascii="Calibri" w:hAnsi="Calibri" w:cs="Calibri"/>
          <w:b/>
        </w:rPr>
      </w:pPr>
      <w:r>
        <w:rPr>
          <w:rFonts w:ascii="Calibri" w:hAnsi="Calibri" w:cs="Calibri"/>
          <w:b/>
        </w:rPr>
        <w:t>Proposal</w:t>
      </w:r>
      <w:r w:rsidR="00E60AB0">
        <w:rPr>
          <w:rFonts w:ascii="Calibri" w:hAnsi="Calibri" w:cs="Calibri"/>
          <w:b/>
        </w:rPr>
        <w:t xml:space="preserve"> 1</w:t>
      </w:r>
      <w:r>
        <w:rPr>
          <w:rFonts w:ascii="Calibri" w:hAnsi="Calibri" w:cs="Calibri"/>
          <w:b/>
        </w:rPr>
        <w:t>: Working assumption is agreed</w:t>
      </w:r>
      <w:r w:rsidR="00F623A9">
        <w:rPr>
          <w:rFonts w:ascii="Calibri" w:hAnsi="Calibri" w:cs="Calibri"/>
          <w:b/>
        </w:rPr>
        <w:t>.</w:t>
      </w:r>
    </w:p>
    <w:p w14:paraId="6DB1AFA1" w14:textId="77777777" w:rsidR="00BA19A0" w:rsidRDefault="00BA19A0" w:rsidP="00744725">
      <w:pPr>
        <w:pStyle w:val="Doc-text2"/>
        <w:tabs>
          <w:tab w:val="clear" w:pos="1622"/>
        </w:tabs>
        <w:ind w:left="0" w:firstLine="0"/>
        <w:rPr>
          <w:rFonts w:ascii="Calibri" w:hAnsi="Calibri" w:cs="Calibri"/>
          <w:b/>
        </w:rPr>
      </w:pPr>
    </w:p>
    <w:p w14:paraId="54AB96D8" w14:textId="29286B71" w:rsidR="00BA19A0" w:rsidRPr="00BA19A0" w:rsidRDefault="00BA19A0" w:rsidP="00744725">
      <w:pPr>
        <w:pStyle w:val="Doc-text2"/>
        <w:tabs>
          <w:tab w:val="clear" w:pos="1622"/>
        </w:tabs>
        <w:ind w:left="0" w:firstLine="0"/>
        <w:rPr>
          <w:rFonts w:ascii="Calibri" w:hAnsi="Calibri" w:cs="Calibri"/>
        </w:rPr>
      </w:pPr>
      <w:r>
        <w:rPr>
          <w:rFonts w:ascii="Calibri" w:hAnsi="Calibri" w:cs="Calibri"/>
        </w:rPr>
        <w:t xml:space="preserve">If proposal 1 is agreed then since there will be two different IEs handling the barring behaviour, same flexibility should be allowed for BarredTimer as well. We therefore propose that: </w:t>
      </w:r>
    </w:p>
    <w:p w14:paraId="6796E06C" w14:textId="77777777" w:rsidR="00BA19A0" w:rsidRDefault="00BA19A0" w:rsidP="00744725">
      <w:pPr>
        <w:pStyle w:val="Doc-text2"/>
        <w:tabs>
          <w:tab w:val="clear" w:pos="1622"/>
        </w:tabs>
        <w:ind w:left="0" w:firstLine="0"/>
        <w:rPr>
          <w:rFonts w:ascii="Calibri" w:hAnsi="Calibri" w:cs="Calibri"/>
          <w:b/>
        </w:rPr>
      </w:pPr>
    </w:p>
    <w:p w14:paraId="5CC53424" w14:textId="77777777" w:rsidR="00F623A9" w:rsidRDefault="008B4B3F" w:rsidP="00F623A9">
      <w:pPr>
        <w:rPr>
          <w:b/>
        </w:rPr>
      </w:pPr>
      <w:r>
        <w:rPr>
          <w:rFonts w:ascii="Calibri" w:hAnsi="Calibri" w:cs="Calibri"/>
          <w:b/>
        </w:rPr>
        <w:t>Proposal</w:t>
      </w:r>
      <w:r w:rsidR="00E60AB0">
        <w:rPr>
          <w:rFonts w:ascii="Calibri" w:hAnsi="Calibri" w:cs="Calibri"/>
          <w:b/>
        </w:rPr>
        <w:t xml:space="preserve"> 2</w:t>
      </w:r>
      <w:r>
        <w:rPr>
          <w:rFonts w:ascii="Calibri" w:hAnsi="Calibri" w:cs="Calibri"/>
          <w:b/>
        </w:rPr>
        <w:t xml:space="preserve">: </w:t>
      </w:r>
      <w:r w:rsidR="006921D9">
        <w:rPr>
          <w:rFonts w:ascii="Calibri" w:hAnsi="Calibri" w:cs="Calibri"/>
          <w:b/>
        </w:rPr>
        <w:t>Two separate values for BarredTimer should be considered</w:t>
      </w:r>
      <w:r w:rsidR="00BA6677">
        <w:rPr>
          <w:rFonts w:ascii="Calibri" w:hAnsi="Calibri" w:cs="Calibri"/>
          <w:b/>
        </w:rPr>
        <w:t xml:space="preserve">. </w:t>
      </w:r>
      <w:r w:rsidR="00CE5A41">
        <w:rPr>
          <w:rFonts w:ascii="Calibri" w:hAnsi="Calibri" w:cs="Calibri"/>
          <w:b/>
        </w:rPr>
        <w:t xml:space="preserve"> </w:t>
      </w:r>
    </w:p>
    <w:p w14:paraId="146E31C2" w14:textId="77777777" w:rsidR="00F623A9" w:rsidRPr="00F73DF8" w:rsidRDefault="00F623A9" w:rsidP="00F623A9">
      <w:pPr>
        <w:pStyle w:val="Heading1"/>
        <w:numPr>
          <w:ilvl w:val="0"/>
          <w:numId w:val="9"/>
        </w:numPr>
        <w:pBdr>
          <w:top w:val="single" w:sz="12" w:space="4" w:color="auto"/>
        </w:pBdr>
        <w:ind w:left="284" w:hanging="284"/>
        <w:rPr>
          <w:rFonts w:ascii="Calibri" w:hAnsi="Calibri" w:cs="Calibri"/>
        </w:rPr>
      </w:pPr>
      <w:r w:rsidRPr="00F73DF8">
        <w:rPr>
          <w:rFonts w:ascii="Calibri" w:hAnsi="Calibri" w:cs="Calibri"/>
        </w:rPr>
        <w:lastRenderedPageBreak/>
        <w:t>Conclusion</w:t>
      </w:r>
    </w:p>
    <w:p w14:paraId="6277896F" w14:textId="77777777" w:rsidR="00F623A9" w:rsidRPr="0088706C" w:rsidRDefault="00F623A9" w:rsidP="00F623A9">
      <w:pPr>
        <w:pStyle w:val="Doc-text2"/>
        <w:tabs>
          <w:tab w:val="clear" w:pos="1622"/>
        </w:tabs>
        <w:ind w:left="0" w:firstLine="0"/>
        <w:rPr>
          <w:rFonts w:ascii="Times New Roman" w:hAnsi="Times New Roman"/>
          <w:szCs w:val="20"/>
        </w:rPr>
      </w:pPr>
      <w:r w:rsidRPr="0088706C">
        <w:rPr>
          <w:rFonts w:ascii="Times New Roman" w:hAnsi="Times New Roman"/>
          <w:szCs w:val="20"/>
        </w:rPr>
        <w:t>We propose RAN2 to discuss and agree on following proposals:</w:t>
      </w:r>
    </w:p>
    <w:p w14:paraId="4116FFC7" w14:textId="77777777" w:rsidR="00F623A9" w:rsidRDefault="00F623A9" w:rsidP="00F623A9">
      <w:pPr>
        <w:pStyle w:val="Doc-text2"/>
        <w:tabs>
          <w:tab w:val="clear" w:pos="1622"/>
        </w:tabs>
        <w:ind w:left="0" w:firstLine="0"/>
        <w:rPr>
          <w:rFonts w:ascii="Calibri" w:hAnsi="Calibri" w:cs="Calibri"/>
          <w:b/>
        </w:rPr>
      </w:pPr>
    </w:p>
    <w:p w14:paraId="20528A57" w14:textId="7A930522" w:rsidR="00F623A9" w:rsidRDefault="00F623A9" w:rsidP="00F623A9">
      <w:pPr>
        <w:pStyle w:val="Doc-text2"/>
        <w:tabs>
          <w:tab w:val="clear" w:pos="1622"/>
        </w:tabs>
        <w:ind w:left="0" w:firstLine="0"/>
        <w:rPr>
          <w:rFonts w:ascii="Calibri" w:hAnsi="Calibri" w:cs="Calibri"/>
          <w:b/>
        </w:rPr>
      </w:pPr>
      <w:r>
        <w:rPr>
          <w:rFonts w:ascii="Calibri" w:hAnsi="Calibri" w:cs="Calibri"/>
          <w:b/>
        </w:rPr>
        <w:t>Proposal 1: Working assumption is agreed.</w:t>
      </w:r>
    </w:p>
    <w:p w14:paraId="3D24E3EC" w14:textId="53338570" w:rsidR="005A613A" w:rsidRPr="00C16DFF" w:rsidRDefault="00F623A9" w:rsidP="00C16DFF">
      <w:pPr>
        <w:pStyle w:val="Doc-text2"/>
        <w:tabs>
          <w:tab w:val="clear" w:pos="1622"/>
        </w:tabs>
        <w:ind w:left="0" w:firstLine="0"/>
        <w:rPr>
          <w:rFonts w:ascii="Calibri" w:hAnsi="Calibri" w:cs="Calibri"/>
          <w:b/>
        </w:rPr>
      </w:pPr>
      <w:r>
        <w:rPr>
          <w:rFonts w:ascii="Calibri" w:hAnsi="Calibri" w:cs="Calibri"/>
          <w:b/>
        </w:rPr>
        <w:t>Proposal 2: Two separate values for BarredTimer should be considered.</w:t>
      </w:r>
    </w:p>
    <w:p w14:paraId="0281D999" w14:textId="432B55B1" w:rsidR="00CA4D13" w:rsidRPr="00A9284F" w:rsidRDefault="00CA4D13" w:rsidP="00CA4D13">
      <w:pPr>
        <w:pStyle w:val="Heading1"/>
        <w:numPr>
          <w:ilvl w:val="0"/>
          <w:numId w:val="9"/>
        </w:numPr>
        <w:pBdr>
          <w:top w:val="single" w:sz="12" w:space="4" w:color="auto"/>
        </w:pBdr>
        <w:ind w:left="284" w:hanging="284"/>
        <w:rPr>
          <w:rFonts w:ascii="Calibri" w:hAnsi="Calibri" w:cs="Calibri"/>
        </w:rPr>
      </w:pPr>
      <w:r>
        <w:rPr>
          <w:rFonts w:ascii="Calibri" w:hAnsi="Calibri" w:cs="Calibri"/>
        </w:rPr>
        <w:t>References</w:t>
      </w:r>
    </w:p>
    <w:bookmarkStart w:id="14" w:name="_Ref447110387"/>
    <w:bookmarkStart w:id="15" w:name="_Ref447119117"/>
    <w:bookmarkStart w:id="16" w:name="_Ref450899589"/>
    <w:p w14:paraId="6E1E5F32" w14:textId="77777777" w:rsidR="00CA4D13" w:rsidRPr="00CA4D13" w:rsidRDefault="00CA4D13" w:rsidP="00CA4D13">
      <w:pPr>
        <w:numPr>
          <w:ilvl w:val="0"/>
          <w:numId w:val="11"/>
        </w:numPr>
        <w:overflowPunct/>
        <w:autoSpaceDE/>
        <w:autoSpaceDN/>
        <w:adjustRightInd/>
        <w:spacing w:after="0"/>
        <w:textAlignment w:val="auto"/>
        <w:rPr>
          <w:rFonts w:asciiTheme="minorHAnsi" w:hAnsiTheme="minorHAnsi" w:cstheme="minorHAnsi"/>
        </w:rPr>
      </w:pPr>
      <w:r w:rsidRPr="00CA4D13">
        <w:rPr>
          <w:rFonts w:asciiTheme="minorHAnsi" w:hAnsiTheme="minorHAnsi" w:cstheme="minorHAnsi"/>
        </w:rPr>
        <w:fldChar w:fldCharType="begin"/>
      </w:r>
      <w:r w:rsidRPr="00CA4D13">
        <w:rPr>
          <w:rFonts w:asciiTheme="minorHAnsi" w:hAnsiTheme="minorHAnsi" w:cstheme="minorHAnsi"/>
        </w:rPr>
        <w:instrText xml:space="preserve"> HYPERLINK "http://www.3gpp.org/ftp/tsg_ran/TSG_RAN/TSGR_73\\Docs\\RP-161596.zip" \o "http://www.3gpp.org/ftp/tsg_ran/TSG_RAN/TSGR_73\Docs\RP-161596.zip" </w:instrText>
      </w:r>
      <w:r w:rsidRPr="00CA4D13">
        <w:rPr>
          <w:rFonts w:asciiTheme="minorHAnsi" w:hAnsiTheme="minorHAnsi" w:cstheme="minorHAnsi"/>
        </w:rPr>
        <w:fldChar w:fldCharType="separate"/>
      </w:r>
      <w:r w:rsidRPr="00CA4D13">
        <w:rPr>
          <w:rStyle w:val="Hyperlink"/>
          <w:rFonts w:asciiTheme="minorHAnsi" w:hAnsiTheme="minorHAnsi" w:cstheme="minorHAnsi"/>
        </w:rPr>
        <w:t>RP-161596</w:t>
      </w:r>
      <w:r w:rsidRPr="00CA4D13">
        <w:rPr>
          <w:rFonts w:asciiTheme="minorHAnsi" w:hAnsiTheme="minorHAnsi" w:cstheme="minorHAnsi"/>
        </w:rPr>
        <w:fldChar w:fldCharType="end"/>
      </w:r>
      <w:r w:rsidRPr="00CA4D13">
        <w:rPr>
          <w:rFonts w:asciiTheme="minorHAnsi" w:hAnsiTheme="minorHAnsi" w:cstheme="minorHAnsi"/>
        </w:rPr>
        <w:t xml:space="preserve">, </w:t>
      </w:r>
      <w:bookmarkEnd w:id="14"/>
      <w:bookmarkEnd w:id="15"/>
      <w:r w:rsidRPr="00CA4D13">
        <w:rPr>
          <w:rFonts w:asciiTheme="minorHAnsi" w:hAnsiTheme="minorHAnsi" w:cstheme="minorHAnsi"/>
        </w:rPr>
        <w:t>Study on New Radio Access Technology</w:t>
      </w:r>
      <w:bookmarkEnd w:id="16"/>
    </w:p>
    <w:bookmarkStart w:id="17" w:name="_Ref485304551"/>
    <w:p w14:paraId="1EC18E6E" w14:textId="2C37FBAC" w:rsidR="00CA4D13" w:rsidRPr="007D1E73" w:rsidRDefault="007D1E73" w:rsidP="007D1E73">
      <w:pPr>
        <w:pStyle w:val="Doc-text2"/>
        <w:numPr>
          <w:ilvl w:val="0"/>
          <w:numId w:val="11"/>
        </w:numPr>
        <w:tabs>
          <w:tab w:val="clear" w:pos="1622"/>
        </w:tabs>
        <w:rPr>
          <w:rFonts w:asciiTheme="minorHAnsi" w:hAnsiTheme="minorHAnsi" w:cstheme="minorHAnsi"/>
          <w:color w:val="000000" w:themeColor="text1"/>
        </w:rPr>
      </w:pPr>
      <w:r>
        <w:rPr>
          <w:rFonts w:asciiTheme="minorHAnsi" w:hAnsiTheme="minorHAnsi" w:cstheme="minorHAnsi"/>
        </w:rPr>
        <w:fldChar w:fldCharType="begin"/>
      </w:r>
      <w:r>
        <w:rPr>
          <w:rFonts w:asciiTheme="minorHAnsi" w:hAnsiTheme="minorHAnsi" w:cstheme="minorHAnsi"/>
        </w:rPr>
        <w:instrText xml:space="preserve"> HYPERLINK "http://www.3gpp.org/ftp/tsg_ran/WG2_RL2/TSGR2_98/Docs/R2-1704833.zip" </w:instrText>
      </w:r>
      <w:r>
        <w:rPr>
          <w:rFonts w:asciiTheme="minorHAnsi" w:hAnsiTheme="minorHAnsi" w:cstheme="minorHAnsi"/>
        </w:rPr>
        <w:fldChar w:fldCharType="separate"/>
      </w:r>
      <w:r w:rsidRPr="007D1E73">
        <w:rPr>
          <w:rStyle w:val="Hyperlink"/>
          <w:rFonts w:asciiTheme="minorHAnsi" w:hAnsiTheme="minorHAnsi" w:cstheme="minorHAnsi"/>
        </w:rPr>
        <w:t>R2-1704833</w:t>
      </w:r>
      <w:r>
        <w:rPr>
          <w:rFonts w:asciiTheme="minorHAnsi" w:hAnsiTheme="minorHAnsi" w:cstheme="minorHAnsi"/>
        </w:rPr>
        <w:fldChar w:fldCharType="end"/>
      </w:r>
      <w:r>
        <w:rPr>
          <w:rFonts w:asciiTheme="minorHAnsi" w:hAnsiTheme="minorHAnsi" w:cstheme="minorHAnsi"/>
        </w:rPr>
        <w:t xml:space="preserve"> </w:t>
      </w:r>
      <w:r w:rsidRPr="007D1E73">
        <w:rPr>
          <w:rFonts w:asciiTheme="minorHAnsi" w:hAnsiTheme="minorHAnsi" w:cstheme="minorHAnsi"/>
        </w:rPr>
        <w:t>On demand SI scheduling information</w:t>
      </w:r>
      <w:r>
        <w:rPr>
          <w:rFonts w:asciiTheme="minorHAnsi" w:hAnsiTheme="minorHAnsi" w:cstheme="minorHAnsi"/>
        </w:rPr>
        <w:t>, Sony</w:t>
      </w:r>
      <w:bookmarkEnd w:id="17"/>
    </w:p>
    <w:bookmarkStart w:id="18" w:name="_Ref485304686"/>
    <w:p w14:paraId="48BFF746" w14:textId="5BFFF587" w:rsidR="007D1E73" w:rsidRPr="00CA4D13" w:rsidRDefault="007D1E73" w:rsidP="007D1E73">
      <w:pPr>
        <w:pStyle w:val="Doc-text2"/>
        <w:numPr>
          <w:ilvl w:val="0"/>
          <w:numId w:val="11"/>
        </w:numPr>
        <w:tabs>
          <w:tab w:val="clear" w:pos="1622"/>
        </w:tabs>
        <w:rPr>
          <w:rFonts w:asciiTheme="minorHAnsi" w:hAnsiTheme="minorHAnsi" w:cstheme="minorHAnsi"/>
          <w:color w:val="000000" w:themeColor="text1"/>
        </w:rPr>
      </w:pP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HYPERLINK "ftp://ftp.3gpp.org/tsg_ran/WG2_RL2/TSGR2_AHs/2017_06_NR/LSin/R2-1706304.zip" </w:instrText>
      </w:r>
      <w:r>
        <w:rPr>
          <w:rFonts w:asciiTheme="minorHAnsi" w:hAnsiTheme="minorHAnsi" w:cstheme="minorHAnsi"/>
          <w:color w:val="000000" w:themeColor="text1"/>
        </w:rPr>
        <w:fldChar w:fldCharType="separate"/>
      </w:r>
      <w:r w:rsidRPr="007D1E73">
        <w:rPr>
          <w:rStyle w:val="Hyperlink"/>
          <w:rFonts w:asciiTheme="minorHAnsi" w:hAnsiTheme="minorHAnsi" w:cstheme="minorHAnsi"/>
        </w:rPr>
        <w:t>R2-1706304</w:t>
      </w:r>
      <w:r>
        <w:rPr>
          <w:rFonts w:asciiTheme="minorHAnsi" w:hAnsiTheme="minorHAnsi" w:cstheme="minorHAnsi"/>
          <w:color w:val="000000" w:themeColor="text1"/>
        </w:rPr>
        <w:fldChar w:fldCharType="end"/>
      </w:r>
      <w:r>
        <w:rPr>
          <w:rFonts w:asciiTheme="minorHAnsi" w:hAnsiTheme="minorHAnsi" w:cstheme="minorHAnsi"/>
          <w:color w:val="000000" w:themeColor="text1"/>
        </w:rPr>
        <w:t xml:space="preserve"> </w:t>
      </w:r>
      <w:r w:rsidRPr="007D1E73">
        <w:rPr>
          <w:rFonts w:asciiTheme="minorHAnsi" w:hAnsiTheme="minorHAnsi" w:cstheme="minorHAnsi"/>
          <w:color w:val="000000" w:themeColor="text1"/>
        </w:rPr>
        <w:t>LS on NR-PBCH content</w:t>
      </w:r>
      <w:r>
        <w:rPr>
          <w:rFonts w:asciiTheme="minorHAnsi" w:hAnsiTheme="minorHAnsi" w:cstheme="minorHAnsi"/>
          <w:color w:val="000000" w:themeColor="text1"/>
        </w:rPr>
        <w:t>, RAN1</w:t>
      </w:r>
      <w:bookmarkEnd w:id="18"/>
    </w:p>
    <w:sectPr w:rsidR="007D1E73" w:rsidRPr="00CA4D1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E20E4" w14:textId="77777777" w:rsidR="00AF7429" w:rsidRDefault="00AF7429">
      <w:r>
        <w:separator/>
      </w:r>
    </w:p>
  </w:endnote>
  <w:endnote w:type="continuationSeparator" w:id="0">
    <w:p w14:paraId="4E3A358E" w14:textId="77777777" w:rsidR="00AF7429" w:rsidRDefault="00AF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238FC" w14:textId="77777777" w:rsidR="00AF7429" w:rsidRDefault="00AF7429">
      <w:r>
        <w:separator/>
      </w:r>
    </w:p>
  </w:footnote>
  <w:footnote w:type="continuationSeparator" w:id="0">
    <w:p w14:paraId="7BBC78D1" w14:textId="77777777" w:rsidR="00AF7429" w:rsidRDefault="00AF74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5A7A11"/>
    <w:multiLevelType w:val="hybridMultilevel"/>
    <w:tmpl w:val="77D80C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B4655D"/>
    <w:multiLevelType w:val="hybridMultilevel"/>
    <w:tmpl w:val="C23AC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4A5755"/>
    <w:multiLevelType w:val="hybridMultilevel"/>
    <w:tmpl w:val="36D29C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46352B"/>
    <w:multiLevelType w:val="hybridMultilevel"/>
    <w:tmpl w:val="C0A62E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15:restartNumberingAfterBreak="0">
    <w:nsid w:val="751744C5"/>
    <w:multiLevelType w:val="hybridMultilevel"/>
    <w:tmpl w:val="FE42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5"/>
  </w:num>
  <w:num w:numId="3">
    <w:abstractNumId w:val="6"/>
  </w:num>
  <w:num w:numId="4">
    <w:abstractNumId w:val="4"/>
  </w:num>
  <w:num w:numId="5">
    <w:abstractNumId w:val="1"/>
  </w:num>
  <w:num w:numId="6">
    <w:abstractNumId w:val="13"/>
  </w:num>
  <w:num w:numId="7">
    <w:abstractNumId w:val="11"/>
  </w:num>
  <w:num w:numId="8">
    <w:abstractNumId w:val="16"/>
  </w:num>
  <w:num w:numId="9">
    <w:abstractNumId w:val="0"/>
  </w:num>
  <w:num w:numId="10">
    <w:abstractNumId w:val="9"/>
  </w:num>
  <w:num w:numId="11">
    <w:abstractNumId w:val="10"/>
  </w:num>
  <w:num w:numId="12">
    <w:abstractNumId w:val="12"/>
  </w:num>
  <w:num w:numId="13">
    <w:abstractNumId w:val="3"/>
  </w:num>
  <w:num w:numId="14">
    <w:abstractNumId w:val="2"/>
  </w:num>
  <w:num w:numId="15">
    <w:abstractNumId w:val="7"/>
  </w:num>
  <w:num w:numId="16">
    <w:abstractNumId w:val="14"/>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32B"/>
    <w:rsid w:val="00014830"/>
    <w:rsid w:val="000158AF"/>
    <w:rsid w:val="00015BDA"/>
    <w:rsid w:val="00015FF6"/>
    <w:rsid w:val="000208FE"/>
    <w:rsid w:val="00020A30"/>
    <w:rsid w:val="00020DD1"/>
    <w:rsid w:val="00020F3E"/>
    <w:rsid w:val="000215DA"/>
    <w:rsid w:val="00022895"/>
    <w:rsid w:val="00023A3A"/>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44F2"/>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5D8D"/>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5C0C"/>
    <w:rsid w:val="0009666A"/>
    <w:rsid w:val="00097C59"/>
    <w:rsid w:val="000A0420"/>
    <w:rsid w:val="000A1523"/>
    <w:rsid w:val="000A17F4"/>
    <w:rsid w:val="000A5737"/>
    <w:rsid w:val="000A5921"/>
    <w:rsid w:val="000A6E6F"/>
    <w:rsid w:val="000A703E"/>
    <w:rsid w:val="000A731E"/>
    <w:rsid w:val="000A75ED"/>
    <w:rsid w:val="000A75EE"/>
    <w:rsid w:val="000B0E91"/>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4FA4"/>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64A"/>
    <w:rsid w:val="00110135"/>
    <w:rsid w:val="00110400"/>
    <w:rsid w:val="00110455"/>
    <w:rsid w:val="001105D3"/>
    <w:rsid w:val="001110AE"/>
    <w:rsid w:val="001114E6"/>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AF8"/>
    <w:rsid w:val="00170D30"/>
    <w:rsid w:val="00171F1D"/>
    <w:rsid w:val="001732F9"/>
    <w:rsid w:val="0017561A"/>
    <w:rsid w:val="00175FA6"/>
    <w:rsid w:val="001807CA"/>
    <w:rsid w:val="00180E60"/>
    <w:rsid w:val="0018182E"/>
    <w:rsid w:val="00182583"/>
    <w:rsid w:val="001839FE"/>
    <w:rsid w:val="00185185"/>
    <w:rsid w:val="001862A4"/>
    <w:rsid w:val="00186361"/>
    <w:rsid w:val="001866BB"/>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264"/>
    <w:rsid w:val="001C3EFC"/>
    <w:rsid w:val="001C51E6"/>
    <w:rsid w:val="001C6287"/>
    <w:rsid w:val="001C6A3B"/>
    <w:rsid w:val="001C6F4D"/>
    <w:rsid w:val="001C7140"/>
    <w:rsid w:val="001C718E"/>
    <w:rsid w:val="001C73E0"/>
    <w:rsid w:val="001C7D0E"/>
    <w:rsid w:val="001D0E95"/>
    <w:rsid w:val="001D1019"/>
    <w:rsid w:val="001D130F"/>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2555"/>
    <w:rsid w:val="001F3BBA"/>
    <w:rsid w:val="001F48BC"/>
    <w:rsid w:val="001F5E1E"/>
    <w:rsid w:val="001F6769"/>
    <w:rsid w:val="001F7B7B"/>
    <w:rsid w:val="001F7F3B"/>
    <w:rsid w:val="00200D51"/>
    <w:rsid w:val="00201AED"/>
    <w:rsid w:val="00202719"/>
    <w:rsid w:val="00202893"/>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2FB4"/>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B52"/>
    <w:rsid w:val="00253FF9"/>
    <w:rsid w:val="0025518F"/>
    <w:rsid w:val="00255E54"/>
    <w:rsid w:val="002578E6"/>
    <w:rsid w:val="00257C33"/>
    <w:rsid w:val="002611A6"/>
    <w:rsid w:val="00261416"/>
    <w:rsid w:val="002616B5"/>
    <w:rsid w:val="00263542"/>
    <w:rsid w:val="002636F9"/>
    <w:rsid w:val="002643AC"/>
    <w:rsid w:val="00265A0E"/>
    <w:rsid w:val="00265B9A"/>
    <w:rsid w:val="00266223"/>
    <w:rsid w:val="00267728"/>
    <w:rsid w:val="00267D15"/>
    <w:rsid w:val="00267E6A"/>
    <w:rsid w:val="00270362"/>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36A"/>
    <w:rsid w:val="00334987"/>
    <w:rsid w:val="00335FA1"/>
    <w:rsid w:val="003362BA"/>
    <w:rsid w:val="00337879"/>
    <w:rsid w:val="00340F3B"/>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2F1"/>
    <w:rsid w:val="0036543D"/>
    <w:rsid w:val="003665AD"/>
    <w:rsid w:val="00366ADD"/>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4D"/>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67F"/>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200D"/>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BD"/>
    <w:rsid w:val="004B05FA"/>
    <w:rsid w:val="004B1F9B"/>
    <w:rsid w:val="004B2032"/>
    <w:rsid w:val="004B2FC3"/>
    <w:rsid w:val="004B363A"/>
    <w:rsid w:val="004B3B79"/>
    <w:rsid w:val="004B3FD2"/>
    <w:rsid w:val="004B451D"/>
    <w:rsid w:val="004B45DA"/>
    <w:rsid w:val="004B473A"/>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1F29"/>
    <w:rsid w:val="005322E6"/>
    <w:rsid w:val="00533DFA"/>
    <w:rsid w:val="00534B35"/>
    <w:rsid w:val="0053613C"/>
    <w:rsid w:val="00540610"/>
    <w:rsid w:val="00541026"/>
    <w:rsid w:val="005415A9"/>
    <w:rsid w:val="005429B0"/>
    <w:rsid w:val="00542F9E"/>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87677"/>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60E"/>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3B"/>
    <w:rsid w:val="005F5BEC"/>
    <w:rsid w:val="005F604E"/>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1D9"/>
    <w:rsid w:val="00692AEF"/>
    <w:rsid w:val="00692D3A"/>
    <w:rsid w:val="0069354D"/>
    <w:rsid w:val="0069475E"/>
    <w:rsid w:val="0069623E"/>
    <w:rsid w:val="00696829"/>
    <w:rsid w:val="006969F0"/>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2D61"/>
    <w:rsid w:val="006B4148"/>
    <w:rsid w:val="006B457E"/>
    <w:rsid w:val="006B49A7"/>
    <w:rsid w:val="006B4E2A"/>
    <w:rsid w:val="006B519C"/>
    <w:rsid w:val="006B5532"/>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504C"/>
    <w:rsid w:val="006D5087"/>
    <w:rsid w:val="006D5F1F"/>
    <w:rsid w:val="006D6DA3"/>
    <w:rsid w:val="006D7429"/>
    <w:rsid w:val="006D7DDF"/>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84"/>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71C7"/>
    <w:rsid w:val="0074104E"/>
    <w:rsid w:val="0074129A"/>
    <w:rsid w:val="00741F5E"/>
    <w:rsid w:val="00741FC5"/>
    <w:rsid w:val="00742F27"/>
    <w:rsid w:val="0074388D"/>
    <w:rsid w:val="007439D8"/>
    <w:rsid w:val="00744725"/>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0928"/>
    <w:rsid w:val="007D1C75"/>
    <w:rsid w:val="007D1E73"/>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32ED"/>
    <w:rsid w:val="007F395A"/>
    <w:rsid w:val="007F396D"/>
    <w:rsid w:val="007F3AA4"/>
    <w:rsid w:val="007F411C"/>
    <w:rsid w:val="007F50EF"/>
    <w:rsid w:val="007F5265"/>
    <w:rsid w:val="007F56FC"/>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7F9"/>
    <w:rsid w:val="0088399F"/>
    <w:rsid w:val="00883BAC"/>
    <w:rsid w:val="00884A0C"/>
    <w:rsid w:val="00884F3D"/>
    <w:rsid w:val="00885B4B"/>
    <w:rsid w:val="00885F85"/>
    <w:rsid w:val="00887DF7"/>
    <w:rsid w:val="0089018E"/>
    <w:rsid w:val="00890698"/>
    <w:rsid w:val="00890C9D"/>
    <w:rsid w:val="008917EC"/>
    <w:rsid w:val="008918DF"/>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4B3F"/>
    <w:rsid w:val="008B5205"/>
    <w:rsid w:val="008B563B"/>
    <w:rsid w:val="008B66EC"/>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178"/>
    <w:rsid w:val="009001F7"/>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5CD"/>
    <w:rsid w:val="00917995"/>
    <w:rsid w:val="0092219B"/>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F6"/>
    <w:rsid w:val="00976E04"/>
    <w:rsid w:val="009777FE"/>
    <w:rsid w:val="00980673"/>
    <w:rsid w:val="0098218F"/>
    <w:rsid w:val="009840EA"/>
    <w:rsid w:val="0098442C"/>
    <w:rsid w:val="009847C6"/>
    <w:rsid w:val="0098541F"/>
    <w:rsid w:val="009856D7"/>
    <w:rsid w:val="00986670"/>
    <w:rsid w:val="00987C05"/>
    <w:rsid w:val="0099145A"/>
    <w:rsid w:val="0099184C"/>
    <w:rsid w:val="009921BF"/>
    <w:rsid w:val="009922CE"/>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047C"/>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4FAC"/>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429"/>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6B61"/>
    <w:rsid w:val="00B276EB"/>
    <w:rsid w:val="00B3003E"/>
    <w:rsid w:val="00B303FD"/>
    <w:rsid w:val="00B30FA4"/>
    <w:rsid w:val="00B31BD2"/>
    <w:rsid w:val="00B31C1E"/>
    <w:rsid w:val="00B31F4C"/>
    <w:rsid w:val="00B32262"/>
    <w:rsid w:val="00B33078"/>
    <w:rsid w:val="00B34540"/>
    <w:rsid w:val="00B3473B"/>
    <w:rsid w:val="00B358B8"/>
    <w:rsid w:val="00B37504"/>
    <w:rsid w:val="00B40E43"/>
    <w:rsid w:val="00B425DF"/>
    <w:rsid w:val="00B44BBE"/>
    <w:rsid w:val="00B45AB9"/>
    <w:rsid w:val="00B460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91856"/>
    <w:rsid w:val="00B929C1"/>
    <w:rsid w:val="00B92C10"/>
    <w:rsid w:val="00B938AA"/>
    <w:rsid w:val="00B94C09"/>
    <w:rsid w:val="00B94EC9"/>
    <w:rsid w:val="00B9609B"/>
    <w:rsid w:val="00B964FE"/>
    <w:rsid w:val="00B967CD"/>
    <w:rsid w:val="00B96993"/>
    <w:rsid w:val="00B97084"/>
    <w:rsid w:val="00B97261"/>
    <w:rsid w:val="00B9740C"/>
    <w:rsid w:val="00B97ACC"/>
    <w:rsid w:val="00B97CA1"/>
    <w:rsid w:val="00BA04C9"/>
    <w:rsid w:val="00BA0AD2"/>
    <w:rsid w:val="00BA0CDD"/>
    <w:rsid w:val="00BA0FF9"/>
    <w:rsid w:val="00BA19A0"/>
    <w:rsid w:val="00BA1C26"/>
    <w:rsid w:val="00BA2092"/>
    <w:rsid w:val="00BA20ED"/>
    <w:rsid w:val="00BA237C"/>
    <w:rsid w:val="00BA523C"/>
    <w:rsid w:val="00BA6677"/>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E6FF0"/>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3C5D"/>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12A9"/>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2F4E"/>
    <w:rsid w:val="00CA3202"/>
    <w:rsid w:val="00CA3DB0"/>
    <w:rsid w:val="00CA3EBF"/>
    <w:rsid w:val="00CA43C3"/>
    <w:rsid w:val="00CA4A4C"/>
    <w:rsid w:val="00CA4D13"/>
    <w:rsid w:val="00CA4F03"/>
    <w:rsid w:val="00CA547B"/>
    <w:rsid w:val="00CA689D"/>
    <w:rsid w:val="00CA708F"/>
    <w:rsid w:val="00CA7894"/>
    <w:rsid w:val="00CA7AD3"/>
    <w:rsid w:val="00CB0525"/>
    <w:rsid w:val="00CB0810"/>
    <w:rsid w:val="00CB16DD"/>
    <w:rsid w:val="00CB21E2"/>
    <w:rsid w:val="00CB2DB9"/>
    <w:rsid w:val="00CB3431"/>
    <w:rsid w:val="00CB42BA"/>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5A41"/>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3BB"/>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7261"/>
    <w:rsid w:val="00D474BB"/>
    <w:rsid w:val="00D5024A"/>
    <w:rsid w:val="00D50AC9"/>
    <w:rsid w:val="00D51ACB"/>
    <w:rsid w:val="00D51BCD"/>
    <w:rsid w:val="00D5279B"/>
    <w:rsid w:val="00D53FC5"/>
    <w:rsid w:val="00D544A3"/>
    <w:rsid w:val="00D5472D"/>
    <w:rsid w:val="00D54768"/>
    <w:rsid w:val="00D557AD"/>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503"/>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42"/>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B59"/>
    <w:rsid w:val="00E575F6"/>
    <w:rsid w:val="00E60005"/>
    <w:rsid w:val="00E604F6"/>
    <w:rsid w:val="00E60AB0"/>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3554"/>
    <w:rsid w:val="00E736ED"/>
    <w:rsid w:val="00E73910"/>
    <w:rsid w:val="00E73F93"/>
    <w:rsid w:val="00E748C1"/>
    <w:rsid w:val="00E74ADD"/>
    <w:rsid w:val="00E74D34"/>
    <w:rsid w:val="00E75292"/>
    <w:rsid w:val="00E752CA"/>
    <w:rsid w:val="00E75FB8"/>
    <w:rsid w:val="00E767D3"/>
    <w:rsid w:val="00E80DFE"/>
    <w:rsid w:val="00E81A43"/>
    <w:rsid w:val="00E822A4"/>
    <w:rsid w:val="00E826A9"/>
    <w:rsid w:val="00E82767"/>
    <w:rsid w:val="00E8525D"/>
    <w:rsid w:val="00E856AE"/>
    <w:rsid w:val="00E8589F"/>
    <w:rsid w:val="00E85C9E"/>
    <w:rsid w:val="00E85DC2"/>
    <w:rsid w:val="00E85E4F"/>
    <w:rsid w:val="00E86119"/>
    <w:rsid w:val="00E861FB"/>
    <w:rsid w:val="00E86FB9"/>
    <w:rsid w:val="00E87D37"/>
    <w:rsid w:val="00E902E5"/>
    <w:rsid w:val="00E90724"/>
    <w:rsid w:val="00E90896"/>
    <w:rsid w:val="00E90F05"/>
    <w:rsid w:val="00E93120"/>
    <w:rsid w:val="00E93AA8"/>
    <w:rsid w:val="00E94337"/>
    <w:rsid w:val="00E94FB8"/>
    <w:rsid w:val="00E954AE"/>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2817"/>
    <w:rsid w:val="00ED3698"/>
    <w:rsid w:val="00ED39A1"/>
    <w:rsid w:val="00ED39F7"/>
    <w:rsid w:val="00ED4822"/>
    <w:rsid w:val="00ED4DD3"/>
    <w:rsid w:val="00ED6C48"/>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0E9"/>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0A5A"/>
    <w:rsid w:val="00F61053"/>
    <w:rsid w:val="00F61F31"/>
    <w:rsid w:val="00F623A9"/>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933AFDBD-F6AD-4706-9D63-A6FFA243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B9708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97084"/>
    <w:rPr>
      <w:rFonts w:ascii="Arial" w:hAnsi="Arial"/>
      <w:noProof/>
      <w:szCs w:val="24"/>
      <w:lang w:val="en-GB" w:eastAsia="en-GB"/>
    </w:rPr>
  </w:style>
  <w:style w:type="character" w:customStyle="1" w:styleId="CRCoverPageZchn">
    <w:name w:val="CR Cover Page Zchn"/>
    <w:link w:val="CRCoverPage"/>
    <w:locked/>
    <w:rsid w:val="007D1E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60586994">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A4763-EED5-48B9-9D06-F0BC97CD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Sharma, Vivek</cp:lastModifiedBy>
  <cp:revision>2</cp:revision>
  <cp:lastPrinted>2009-09-26T16:02:00Z</cp:lastPrinted>
  <dcterms:created xsi:type="dcterms:W3CDTF">2017-09-28T09:56:00Z</dcterms:created>
  <dcterms:modified xsi:type="dcterms:W3CDTF">2017-09-28T09:56:00Z</dcterms:modified>
</cp:coreProperties>
</file>